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22C3" w14:textId="58D9885B" w:rsidR="000D71AD" w:rsidRPr="009A0051" w:rsidRDefault="00611ECE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 xml:space="preserve">Sensitive MS analysis of single-cell proteome and N-glycosylation </w:t>
      </w:r>
    </w:p>
    <w:p w14:paraId="659F860B" w14:textId="77777777" w:rsidR="005147B8" w:rsidRDefault="005147B8" w:rsidP="005201E4">
      <w:pPr>
        <w:ind w:firstLine="420"/>
        <w:jc w:val="center"/>
        <w:rPr>
          <w:rFonts w:ascii="Times New Roman" w:eastAsia="宋体" w:hAnsi="Times New Roman" w:cs="Times New Roman"/>
          <w:szCs w:val="21"/>
        </w:rPr>
      </w:pPr>
    </w:p>
    <w:p w14:paraId="7F63426A" w14:textId="18F7630C" w:rsidR="00342142" w:rsidRPr="009A0051" w:rsidRDefault="005201E4" w:rsidP="005201E4">
      <w:pPr>
        <w:ind w:firstLine="42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Qin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Weijie</w:t>
      </w:r>
      <w:r w:rsidR="00342142" w:rsidRPr="009A0051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342142" w:rsidRPr="009A0051"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 w:hint="eastAsia"/>
          <w:szCs w:val="21"/>
        </w:rPr>
        <w:t>Fang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Wei</w:t>
      </w:r>
      <w:r w:rsidR="00342142" w:rsidRPr="009A0051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342142" w:rsidRPr="009A0051">
        <w:rPr>
          <w:rFonts w:ascii="Times New Roman" w:eastAsia="宋体" w:hAnsi="Times New Roman" w:cs="Times New Roman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Ko</w:t>
      </w:r>
      <w:r>
        <w:rPr>
          <w:rFonts w:ascii="Times New Roman" w:eastAsia="宋体" w:hAnsi="Times New Roman" w:cs="Times New Roman"/>
          <w:szCs w:val="21"/>
        </w:rPr>
        <w:t>ng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Linlin</w:t>
      </w:r>
      <w:r w:rsidR="00342142" w:rsidRPr="009A0051">
        <w:rPr>
          <w:rFonts w:ascii="Times New Roman" w:eastAsia="宋体" w:hAnsi="Times New Roman" w:cs="Times New Roman"/>
          <w:szCs w:val="21"/>
          <w:vertAlign w:val="superscript"/>
        </w:rPr>
        <w:t>1</w:t>
      </w:r>
    </w:p>
    <w:p w14:paraId="1DF7E9D3" w14:textId="105A3845" w:rsidR="000D71AD" w:rsidRPr="009A0051" w:rsidRDefault="000D71AD">
      <w:pPr>
        <w:jc w:val="center"/>
        <w:rPr>
          <w:rFonts w:ascii="Times New Roman" w:eastAsia="宋体" w:hAnsi="Times New Roman" w:cs="Times New Roman"/>
          <w:szCs w:val="21"/>
        </w:rPr>
      </w:pPr>
    </w:p>
    <w:p w14:paraId="4AD20D4E" w14:textId="5CFA769A" w:rsidR="000D71AD" w:rsidRPr="009A0051" w:rsidRDefault="00000000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9A0051">
        <w:rPr>
          <w:rFonts w:ascii="Times New Roman" w:eastAsia="宋体" w:hAnsi="Times New Roman" w:cs="Times New Roman"/>
          <w:sz w:val="18"/>
          <w:szCs w:val="18"/>
          <w:vertAlign w:val="superscript"/>
        </w:rPr>
        <w:t>1</w:t>
      </w:r>
      <w:r w:rsidRPr="009A0051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6C7060" w:rsidRPr="009A0051">
        <w:rPr>
          <w:rFonts w:ascii="Times New Roman" w:hAnsi="Times New Roman" w:cs="Times New Roman"/>
          <w:i/>
          <w:iCs/>
          <w:sz w:val="18"/>
          <w:szCs w:val="18"/>
        </w:rPr>
        <w:t>National Center for Protein Sciences Beijing, Beijing, 102206, PR</w:t>
      </w:r>
      <w:r w:rsidR="006C7060" w:rsidRPr="009A005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C7060" w:rsidRPr="009A0051">
        <w:rPr>
          <w:rFonts w:ascii="Times New Roman" w:hAnsi="Times New Roman" w:cs="Times New Roman"/>
          <w:i/>
          <w:iCs/>
          <w:sz w:val="18"/>
          <w:szCs w:val="18"/>
        </w:rPr>
        <w:t>China</w:t>
      </w:r>
    </w:p>
    <w:p w14:paraId="66C93CBB" w14:textId="77777777" w:rsidR="000D71AD" w:rsidRPr="009A0051" w:rsidRDefault="000D71AD">
      <w:pPr>
        <w:rPr>
          <w:rFonts w:ascii="Times New Roman" w:eastAsia="宋体" w:hAnsi="Times New Roman" w:cs="Times New Roman"/>
          <w:szCs w:val="24"/>
        </w:rPr>
      </w:pPr>
    </w:p>
    <w:p w14:paraId="168E7865" w14:textId="1443D16D" w:rsidR="000D71AD" w:rsidRPr="009A0051" w:rsidRDefault="00420F97">
      <w:pPr>
        <w:rPr>
          <w:rFonts w:ascii="Times New Roman" w:hAnsi="Times New Roman" w:cs="Times New Roman"/>
          <w:szCs w:val="21"/>
        </w:rPr>
      </w:pP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Single-cell analysis has received much attention in recent years for elucidating the widely existing cellular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heterogeneity in biological systems. However, the ability to measure the proteome in single cells is still far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behind that of transcriptomics due to the lack of sensitive and high-throughput mass spectrometry methods.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Herein, we report an integrated strategy termed </w:t>
      </w:r>
      <w:r w:rsidRPr="009A0051">
        <w:rPr>
          <w:rStyle w:val="fontstyle21"/>
          <w:rFonts w:ascii="Times New Roman" w:hAnsi="Times New Roman" w:cs="Times New Roman"/>
          <w:color w:val="auto"/>
          <w:sz w:val="21"/>
          <w:szCs w:val="21"/>
        </w:rPr>
        <w:t>“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SCP-MS1</w:t>
      </w:r>
      <w:r w:rsidRPr="009A0051">
        <w:rPr>
          <w:rStyle w:val="fontstyle21"/>
          <w:rFonts w:ascii="Times New Roman" w:hAnsi="Times New Roman" w:cs="Times New Roman"/>
          <w:color w:val="auto"/>
          <w:sz w:val="21"/>
          <w:szCs w:val="21"/>
        </w:rPr>
        <w:t xml:space="preserve">”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that combines fast liquid chromatography (LC)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separation, deep learning-based retention time (RT) prediction and MS1-only acquisition for rapid and sensitive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single-cell proteome analysis. In SCP-MS1, the peptides were identified via four-dimensional MS1 feature (</w:t>
      </w:r>
      <w:r w:rsidRPr="009A0051">
        <w:rPr>
          <w:rStyle w:val="fontstyle31"/>
          <w:rFonts w:ascii="Times New Roman" w:hAnsi="Times New Roman" w:cs="Times New Roman"/>
          <w:color w:val="auto"/>
          <w:sz w:val="21"/>
          <w:szCs w:val="21"/>
        </w:rPr>
        <w:t>m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/</w:t>
      </w:r>
      <w:r w:rsidRPr="009A0051">
        <w:rPr>
          <w:rStyle w:val="fontstyle31"/>
          <w:rFonts w:ascii="Times New Roman" w:hAnsi="Times New Roman" w:cs="Times New Roman"/>
          <w:color w:val="auto"/>
          <w:sz w:val="21"/>
          <w:szCs w:val="21"/>
        </w:rPr>
        <w:t>z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,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RT, charge and FAIMS CV) matching, therefore relieving MS acquisition from the time consuming and information losing MS2 step and making this method particularly compatible with fast LC separation. By completely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omitting the MS2 step, all the MS analysis time was utilized for MS1 acquisition in SCP-MS1 and therefore led to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65%</w:t>
      </w:r>
      <w:r w:rsidRPr="009A0051">
        <w:rPr>
          <w:rStyle w:val="fontstyle21"/>
          <w:rFonts w:ascii="Times New Roman" w:hAnsi="Times New Roman" w:cs="Times New Roman"/>
          <w:color w:val="auto"/>
          <w:sz w:val="21"/>
          <w:szCs w:val="21"/>
        </w:rPr>
        <w:t>–</w:t>
      </w:r>
      <w:r w:rsidRPr="009A0051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138% increased MS1 feature collection. Using this strategy, more than 2000 proteins were obtained from 0.2</w:t>
      </w:r>
      <w:r w:rsidRPr="009A0051">
        <w:rPr>
          <w:rStyle w:val="fontstyle01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 xml:space="preserve">ng of peptides with a 14-min active gradient at a false discovery rate (FDR) of 0.8%. </w:t>
      </w:r>
    </w:p>
    <w:p w14:paraId="38C5C61E" w14:textId="77777777" w:rsidR="009A0051" w:rsidRPr="009A0051" w:rsidRDefault="009A0051">
      <w:pPr>
        <w:rPr>
          <w:rFonts w:ascii="Times New Roman" w:hAnsi="Times New Roman" w:cs="Times New Roman"/>
          <w:szCs w:val="21"/>
        </w:rPr>
      </w:pPr>
    </w:p>
    <w:p w14:paraId="1D4C1D2C" w14:textId="3A6B5C44" w:rsidR="00420F97" w:rsidRPr="009A0051" w:rsidRDefault="009A0051">
      <w:pPr>
        <w:rPr>
          <w:rStyle w:val="fontstyle01"/>
          <w:rFonts w:ascii="Times New Roman" w:hAnsi="Times New Roman" w:cs="Times New Roman"/>
          <w:color w:val="auto"/>
          <w:sz w:val="21"/>
          <w:szCs w:val="21"/>
        </w:rPr>
      </w:pPr>
      <w:r w:rsidRPr="009A0051">
        <w:rPr>
          <w:rFonts w:ascii="Times New Roman" w:hAnsi="Times New Roman" w:cs="Times New Roman"/>
          <w:szCs w:val="21"/>
        </w:rPr>
        <w:t>As one of the major</w:t>
      </w:r>
      <w:r w:rsidR="006F7C7C">
        <w:rPr>
          <w:rFonts w:ascii="Times New Roman" w:hAnsi="Times New Roman" w:cs="Times New Roman"/>
          <w:szCs w:val="21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>post-translational modifications, protein N-glycosylation plays</w:t>
      </w:r>
      <w:r w:rsidR="006F7C7C">
        <w:rPr>
          <w:rFonts w:ascii="Times New Roman" w:hAnsi="Times New Roman" w:cs="Times New Roman"/>
          <w:szCs w:val="21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>crucial roles in various important biological processes. However,</w:t>
      </w:r>
      <w:r w:rsidR="006F7C7C">
        <w:rPr>
          <w:rFonts w:ascii="Times New Roman" w:hAnsi="Times New Roman" w:cs="Times New Roman"/>
          <w:szCs w:val="21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>comprehensive N-glycoproteome profiling for single cells has not been achieved due to the extremely limited sample amount</w:t>
      </w:r>
      <w:r w:rsidR="006F7C7C">
        <w:rPr>
          <w:rFonts w:ascii="Times New Roman" w:hAnsi="Times New Roman" w:cs="Times New Roman"/>
          <w:szCs w:val="21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>and incompatibility with the available enrichment strategies. Here, we have developed an isobaric labeling-based carrier strategy for</w:t>
      </w:r>
      <w:r w:rsidR="006F7C7C">
        <w:rPr>
          <w:rFonts w:ascii="Times New Roman" w:hAnsi="Times New Roman" w:cs="Times New Roman"/>
          <w:szCs w:val="21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>highly sensitive intact N-glycopeptide profiling for single cells or a small number of rare cells without enrichment. In our strategy, a carrier channel using N-glycopeptides</w:t>
      </w:r>
      <w:r w:rsidR="006F7C7C">
        <w:rPr>
          <w:rFonts w:ascii="Times New Roman" w:hAnsi="Times New Roman" w:cs="Times New Roman"/>
          <w:szCs w:val="21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>obtained from bulk-cell samples significantly improved the “total” signal of N-glycopeptides and therefore, promoted the first</w:t>
      </w:r>
      <w:r w:rsidR="006F7C7C">
        <w:rPr>
          <w:rFonts w:ascii="Times New Roman" w:hAnsi="Times New Roman" w:cs="Times New Roman"/>
          <w:szCs w:val="21"/>
        </w:rPr>
        <w:t xml:space="preserve"> </w:t>
      </w:r>
      <w:r w:rsidRPr="009A0051">
        <w:rPr>
          <w:rFonts w:ascii="Times New Roman" w:hAnsi="Times New Roman" w:cs="Times New Roman"/>
          <w:szCs w:val="21"/>
        </w:rPr>
        <w:t xml:space="preserve">quantitative analysis of averagely 260 N-glycopeptides from single HeLa cells. </w:t>
      </w:r>
    </w:p>
    <w:p w14:paraId="242F1BE0" w14:textId="77777777" w:rsidR="00420F97" w:rsidRPr="009A0051" w:rsidRDefault="00420F97">
      <w:pPr>
        <w:rPr>
          <w:rFonts w:ascii="Times New Roman" w:eastAsia="宋体" w:hAnsi="Times New Roman" w:cs="Times New Roman" w:hint="eastAsia"/>
          <w:b/>
          <w:szCs w:val="24"/>
        </w:rPr>
      </w:pPr>
    </w:p>
    <w:p w14:paraId="72AD6AB8" w14:textId="77777777" w:rsidR="000D71AD" w:rsidRPr="009A0051" w:rsidRDefault="00000000">
      <w:pPr>
        <w:rPr>
          <w:rFonts w:ascii="Times New Roman" w:eastAsia="宋体" w:hAnsi="Times New Roman" w:cs="Times New Roman"/>
          <w:b/>
          <w:szCs w:val="24"/>
        </w:rPr>
      </w:pPr>
      <w:r w:rsidRPr="009A0051">
        <w:rPr>
          <w:rFonts w:ascii="Times New Roman" w:eastAsia="宋体" w:hAnsi="Times New Roman" w:cs="Times New Roman"/>
          <w:b/>
          <w:szCs w:val="24"/>
        </w:rPr>
        <w:t xml:space="preserve">Keywords: </w:t>
      </w:r>
    </w:p>
    <w:p w14:paraId="01E3FF3F" w14:textId="0F2F22DF" w:rsidR="000D71AD" w:rsidRPr="009A0051" w:rsidRDefault="005147B8" w:rsidP="005147B8">
      <w:pPr>
        <w:rPr>
          <w:rFonts w:ascii="Times New Roman" w:eastAsia="宋体" w:hAnsi="Times New Roman" w:cs="Times New Roman"/>
          <w:szCs w:val="24"/>
        </w:rPr>
      </w:pPr>
      <w:r w:rsidRPr="005147B8">
        <w:rPr>
          <w:rFonts w:ascii="Times New Roman" w:eastAsia="宋体" w:hAnsi="Times New Roman" w:cs="Times New Roman"/>
          <w:szCs w:val="24"/>
        </w:rPr>
        <w:t>Single-cell proteomics</w:t>
      </w:r>
      <w:r w:rsidR="00820D39" w:rsidRPr="009A0051">
        <w:rPr>
          <w:rFonts w:ascii="Times New Roman" w:eastAsia="宋体" w:hAnsi="Times New Roman" w:cs="Times New Roman"/>
          <w:szCs w:val="24"/>
        </w:rPr>
        <w:t xml:space="preserve">/ </w:t>
      </w:r>
      <w:r w:rsidRPr="009A0051">
        <w:rPr>
          <w:rFonts w:ascii="Times New Roman" w:hAnsi="Times New Roman" w:cs="Times New Roman"/>
          <w:szCs w:val="21"/>
        </w:rPr>
        <w:t>N-glycosylation</w:t>
      </w:r>
      <w:r w:rsidR="00820D39" w:rsidRPr="009A0051">
        <w:rPr>
          <w:rFonts w:ascii="Times New Roman" w:eastAsia="宋体" w:hAnsi="Times New Roman" w:cs="Times New Roman"/>
          <w:szCs w:val="24"/>
        </w:rPr>
        <w:t xml:space="preserve">/ LC-MS/MS/ </w:t>
      </w:r>
      <w:r w:rsidRPr="005147B8">
        <w:rPr>
          <w:rFonts w:ascii="Times New Roman" w:eastAsia="宋体" w:hAnsi="Times New Roman" w:cs="Times New Roman"/>
          <w:szCs w:val="24"/>
        </w:rPr>
        <w:t>MS1-only acquisition</w:t>
      </w:r>
      <w:r w:rsidR="00820D39" w:rsidRPr="009A0051">
        <w:rPr>
          <w:rFonts w:ascii="Times New Roman" w:eastAsia="宋体" w:hAnsi="Times New Roman" w:cs="Times New Roman"/>
          <w:szCs w:val="24"/>
        </w:rPr>
        <w:t xml:space="preserve">/ </w:t>
      </w:r>
      <w:r w:rsidRPr="005147B8">
        <w:rPr>
          <w:rFonts w:ascii="Times New Roman" w:eastAsia="宋体" w:hAnsi="Times New Roman" w:cs="Times New Roman"/>
          <w:szCs w:val="24"/>
        </w:rPr>
        <w:t>Isobaric Labeling</w:t>
      </w:r>
      <w:r w:rsidR="00820D39" w:rsidRPr="009A0051">
        <w:rPr>
          <w:rFonts w:ascii="Times New Roman" w:eastAsia="宋体" w:hAnsi="Times New Roman" w:cs="Times New Roman"/>
          <w:szCs w:val="24"/>
        </w:rPr>
        <w:t xml:space="preserve"> </w:t>
      </w:r>
    </w:p>
    <w:p w14:paraId="22C3C4AB" w14:textId="77777777" w:rsidR="000D71AD" w:rsidRPr="009A0051" w:rsidRDefault="000D71AD">
      <w:pPr>
        <w:rPr>
          <w:rFonts w:ascii="Times New Roman" w:eastAsia="宋体" w:hAnsi="Times New Roman" w:cs="Times New Roman"/>
          <w:szCs w:val="24"/>
        </w:rPr>
      </w:pPr>
    </w:p>
    <w:p w14:paraId="7635510C" w14:textId="77777777" w:rsidR="000D71AD" w:rsidRPr="009A0051" w:rsidRDefault="000D71AD"/>
    <w:sectPr w:rsidR="000D71AD" w:rsidRPr="009A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620A" w14:textId="77777777" w:rsidR="00C0209E" w:rsidRDefault="00C0209E" w:rsidP="008B754F">
      <w:r>
        <w:separator/>
      </w:r>
    </w:p>
  </w:endnote>
  <w:endnote w:type="continuationSeparator" w:id="0">
    <w:p w14:paraId="3D7CAFF9" w14:textId="77777777" w:rsidR="00C0209E" w:rsidRDefault="00C0209E" w:rsidP="008B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Cambria"/>
    <w:panose1 w:val="00000000000000000000"/>
    <w:charset w:val="00"/>
    <w:family w:val="roman"/>
    <w:notTrueType/>
    <w:pitch w:val="default"/>
  </w:font>
  <w:font w:name="STIX-Regular">
    <w:altName w:val="Cambria"/>
    <w:panose1 w:val="00000000000000000000"/>
    <w:charset w:val="00"/>
    <w:family w:val="roman"/>
    <w:notTrueType/>
    <w:pitch w:val="default"/>
  </w:font>
  <w:font w:name="CharisSIL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5FC6" w14:textId="77777777" w:rsidR="00C0209E" w:rsidRDefault="00C0209E" w:rsidP="008B754F">
      <w:r>
        <w:separator/>
      </w:r>
    </w:p>
  </w:footnote>
  <w:footnote w:type="continuationSeparator" w:id="0">
    <w:p w14:paraId="6B4C2572" w14:textId="77777777" w:rsidR="00C0209E" w:rsidRDefault="00C0209E" w:rsidP="008B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D1F21EF"/>
    <w:rsid w:val="FD1F21EF"/>
    <w:rsid w:val="000970CB"/>
    <w:rsid w:val="000D71AD"/>
    <w:rsid w:val="002D44FD"/>
    <w:rsid w:val="00342142"/>
    <w:rsid w:val="00420F97"/>
    <w:rsid w:val="005147B8"/>
    <w:rsid w:val="005201E4"/>
    <w:rsid w:val="005506AD"/>
    <w:rsid w:val="00611ECE"/>
    <w:rsid w:val="006C7060"/>
    <w:rsid w:val="006F7C7C"/>
    <w:rsid w:val="007D7CEE"/>
    <w:rsid w:val="00820D39"/>
    <w:rsid w:val="00891C32"/>
    <w:rsid w:val="008B754F"/>
    <w:rsid w:val="009A0051"/>
    <w:rsid w:val="00BD135D"/>
    <w:rsid w:val="00C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BCAF"/>
  <w15:docId w15:val="{12C94BF8-CE78-45C9-BCB1-24726A4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5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754F"/>
    <w:rPr>
      <w:kern w:val="2"/>
      <w:sz w:val="18"/>
      <w:szCs w:val="18"/>
    </w:rPr>
  </w:style>
  <w:style w:type="paragraph" w:styleId="a5">
    <w:name w:val="footer"/>
    <w:basedOn w:val="a"/>
    <w:link w:val="a6"/>
    <w:rsid w:val="008B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754F"/>
    <w:rPr>
      <w:kern w:val="2"/>
      <w:sz w:val="18"/>
      <w:szCs w:val="18"/>
    </w:rPr>
  </w:style>
  <w:style w:type="character" w:customStyle="1" w:styleId="fontstyle01">
    <w:name w:val="fontstyle01"/>
    <w:basedOn w:val="a0"/>
    <w:rsid w:val="00420F97"/>
    <w:rPr>
      <w:rFonts w:ascii="CharisSIL" w:hAnsi="CharisSI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420F97"/>
    <w:rPr>
      <w:rFonts w:ascii="STIX-Regular" w:hAnsi="STIX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a0"/>
    <w:rsid w:val="00420F97"/>
    <w:rPr>
      <w:rFonts w:ascii="CharisSIL-Italic" w:hAnsi="CharisSIL-Italic" w:hint="default"/>
      <w:b w:val="0"/>
      <w:bCs w:val="0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木子言上</dc:creator>
  <cp:lastModifiedBy>qin nanogold-qin</cp:lastModifiedBy>
  <cp:revision>12</cp:revision>
  <dcterms:created xsi:type="dcterms:W3CDTF">2023-07-06T12:46:00Z</dcterms:created>
  <dcterms:modified xsi:type="dcterms:W3CDTF">2023-08-13T02:58:00Z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2052-4.3.0.7281</vt:lpwstr>
  </property>
  <property fmtid="{D5CDD505-2E9C-101B-9397-08002B2CF9AE}" pid="3" name="ICV">
    <vt:lpwstr>413A575B0F4E8C810B47A6642B56F5A8</vt:lpwstr>
  </property>
</Properties>
</file>